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42E4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027C7" w:rsidRPr="00E260D5">
        <w:rPr>
          <w:rFonts w:eastAsia="Arial Unicode MS"/>
          <w:noProof/>
          <w:color w:val="000000"/>
          <w:sz w:val="22"/>
          <w:szCs w:val="22"/>
          <w:lang w:val="en-AU"/>
        </w:rPr>
        <w:t>36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027C7" w:rsidRPr="00E260D5">
        <w:rPr>
          <w:b/>
          <w:noProof/>
          <w:color w:val="000000"/>
          <w:sz w:val="20"/>
          <w:szCs w:val="20"/>
          <w:lang w:val="en-US"/>
        </w:rPr>
        <w:t>Deni Syachrudin,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027C7" w:rsidRPr="00E260D5">
        <w:rPr>
          <w:b/>
          <w:noProof/>
          <w:color w:val="000000"/>
          <w:sz w:val="20"/>
          <w:szCs w:val="20"/>
          <w:lang w:val="en-US"/>
        </w:rPr>
        <w:t>1975801090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027C7" w:rsidRPr="00E260D5">
        <w:rPr>
          <w:noProof/>
          <w:color w:val="000000"/>
          <w:sz w:val="20"/>
          <w:szCs w:val="20"/>
          <w:lang w:val="en-AU"/>
        </w:rPr>
        <w:t>Aditya Bondan Prakoso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027C7" w:rsidRPr="00E260D5">
        <w:rPr>
          <w:noProof/>
          <w:color w:val="000000"/>
          <w:sz w:val="20"/>
          <w:szCs w:val="20"/>
          <w:lang w:val="en-AU"/>
        </w:rPr>
        <w:t>43212110326</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027C7" w:rsidRPr="00E260D5">
        <w:rPr>
          <w:noProof/>
          <w:color w:val="000000"/>
          <w:sz w:val="20"/>
          <w:szCs w:val="20"/>
          <w:lang w:val="en-AU"/>
        </w:rPr>
        <w:t>Pengaruh Return On Asset, Return On Investment, Debt to Equity Ratio, Firm Size, Growth, Free Cash Flow, Price Earning Ratio, Price to Book Value terhadap Dividend Payout Ratio</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A6F0F"/>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835F-BC91-47DF-9E73-0810B4DD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2016-07-18T04:42:00Z</cp:lastPrinted>
  <dcterms:created xsi:type="dcterms:W3CDTF">2016-07-18T04:42:00Z</dcterms:created>
  <dcterms:modified xsi:type="dcterms:W3CDTF">2016-07-18T04:42:00Z</dcterms:modified>
</cp:coreProperties>
</file>