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tbl>
      <w:tblPr>
        <w:tblLayout w:type="fixed"/>
        <w:tblInd w:w="20" w:type="dxa"/>
        <w:tblCellMar>
          <w:top w:w="0" w:type="dxa"/>
          <w:left w:w="0" w:type="dxa"/>
          <w:bottom w:w="0" w:type="dxa"/>
          <w:right w:w="0" w:type="dxa"/>
        </w:tblCellMar>
      </w:tblPr>
      <w:tr>
        <w:trPr>
          <w:trHeight w:val="253"/>
        </w:trPr>
        <w:tc>
          <w:tcPr>
            <w:tcW w:w="1800" w:type="dxa"/>
            <w:vAlign w:val="bottom"/>
          </w:tcPr>
          <w:p>
            <w:pPr>
              <w:spacing w:after="0"/>
              <w:rPr>
                <w:sz w:val="22"/>
                <w:szCs w:val="22"/>
                <w:color w:val="auto"/>
              </w:rPr>
            </w:pPr>
          </w:p>
        </w:tc>
        <w:tc>
          <w:tcPr>
            <w:tcW w:w="7560" w:type="dxa"/>
            <w:vAlign w:val="bottom"/>
          </w:tcPr>
          <w:p>
            <w:pPr>
              <w:ind w:left="6240"/>
              <w:spacing w:after="0"/>
              <w:rPr>
                <w:sz w:val="20"/>
                <w:szCs w:val="20"/>
                <w:color w:val="auto"/>
              </w:rPr>
            </w:pPr>
            <w:r>
              <w:rPr>
                <w:rFonts w:ascii="Times New Roman" w:cs="Times New Roman" w:eastAsia="Times New Roman" w:hAnsi="Times New Roman"/>
                <w:sz w:val="22"/>
                <w:szCs w:val="22"/>
                <w:color w:val="auto"/>
              </w:rPr>
              <w:t>(5)</w:t>
            </w:r>
          </w:p>
        </w:tc>
      </w:tr>
      <w:tr>
        <w:trPr>
          <w:trHeight w:val="328"/>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4"/>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4"/>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4"/>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4"/>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Dr. Harnovinsah, Ak., M.Si.,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0318096701/ 112670353</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Lektor</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Andini Aristuti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43212110155/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Pengaruh corporate tax avoidance dan kepemilikan keluarga terhadap ketepatan waktu</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penyampaian laporan keuangan tahunan perusahaan (studi empiris pada perusahaan</w:t>
            </w:r>
          </w:p>
        </w:tc>
      </w:tr>
      <w:tr>
        <w:trPr>
          <w:trHeight w:val="230"/>
        </w:trPr>
        <w:tc>
          <w:tcPr>
            <w:tcW w:w="1800" w:type="dxa"/>
            <w:vAlign w:val="bottom"/>
          </w:tcPr>
          <w:p>
            <w:pPr>
              <w:spacing w:after="0"/>
              <w:rPr>
                <w:sz w:val="20"/>
                <w:szCs w:val="20"/>
                <w:color w:val="auto"/>
              </w:rPr>
            </w:pPr>
          </w:p>
        </w:tc>
        <w:tc>
          <w:tcPr>
            <w:tcW w:w="7560" w:type="dxa"/>
            <w:vAlign w:val="bottom"/>
          </w:tcPr>
          <w:p>
            <w:pPr>
              <w:ind w:left="460"/>
              <w:spacing w:after="0" w:line="229" w:lineRule="exact"/>
              <w:rPr>
                <w:sz w:val="20"/>
                <w:szCs w:val="20"/>
                <w:color w:val="auto"/>
              </w:rPr>
            </w:pPr>
            <w:r>
              <w:rPr>
                <w:rFonts w:ascii="Times New Roman" w:cs="Times New Roman" w:eastAsia="Times New Roman" w:hAnsi="Times New Roman"/>
                <w:sz w:val="20"/>
                <w:szCs w:val="20"/>
                <w:color w:val="auto"/>
              </w:rPr>
              <w:t>otomotif yang terdaftar di BEI)</w:t>
            </w:r>
          </w:p>
        </w:tc>
      </w:tr>
    </w:tbl>
    <w:p>
      <w:pPr>
        <w:spacing w:after="0" w:line="228"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5"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28"/>
        </w:trPr>
        <w:tc>
          <w:tcPr>
            <w:tcW w:w="254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7"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7"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3" w:lineRule="exact"/>
        <w:rPr>
          <w:sz w:val="24"/>
          <w:szCs w:val="24"/>
          <w:color w:val="auto"/>
        </w:rPr>
      </w:pPr>
    </w:p>
    <w:p>
      <w:pPr>
        <w:jc w:val="both"/>
        <w:ind w:left="20"/>
        <w:spacing w:after="0" w:line="222"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90"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229"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spacing w:after="0" w:line="1"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4"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6" w:lineRule="auto"/>
        <w:rPr>
          <w:sz w:val="20"/>
          <w:szCs w:val="20"/>
          <w:color w:val="auto"/>
        </w:rPr>
      </w:pPr>
      <w:r>
        <w:rPr>
          <w:rFonts w:ascii="Times New Roman" w:cs="Times New Roman" w:eastAsia="Times New Roman" w:hAnsi="Times New Roman"/>
          <w:sz w:val="20"/>
          <w:szCs w:val="20"/>
          <w:color w:val="auto"/>
        </w:rPr>
        <w:t>NIDN/NIK 0318096701</w:t>
      </w:r>
    </w:p>
    <w:p>
      <w:pPr>
        <w:spacing w:after="0" w:line="2" w:lineRule="exact"/>
        <w:rPr>
          <w:sz w:val="24"/>
          <w:szCs w:val="24"/>
          <w:color w:val="auto"/>
        </w:rPr>
      </w:pPr>
    </w:p>
    <w:p>
      <w:pPr>
        <w:ind w:left="20"/>
        <w:spacing w:after="0" w:line="239" w:lineRule="auto"/>
        <w:rPr>
          <w:sz w:val="20"/>
          <w:szCs w:val="20"/>
          <w:color w:val="auto"/>
        </w:rPr>
      </w:pPr>
      <w:r>
        <w:rPr>
          <w:rFonts w:ascii="Calibri" w:cs="Calibri" w:eastAsia="Calibri" w:hAnsi="Calibri"/>
          <w:sz w:val="20"/>
          <w:szCs w:val="20"/>
          <w:color w:val="auto"/>
        </w:rPr>
        <w:t>Tembusan Yth. :</w:t>
      </w:r>
    </w:p>
    <w:p>
      <w:pPr>
        <w:spacing w:after="0" w:line="3"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jc w:val="both"/>
        <w:ind w:left="300" w:hanging="280"/>
        <w:spacing w:after="0" w:line="238"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 w:lineRule="exact"/>
        <w:rPr>
          <w:sz w:val="24"/>
          <w:szCs w:val="24"/>
          <w:color w:val="auto"/>
        </w:rPr>
      </w:pPr>
    </w:p>
    <w:p>
      <w:pPr>
        <w:spacing w:after="0"/>
        <w:rPr>
          <w:sz w:val="20"/>
          <w:szCs w:val="20"/>
          <w:color w:val="auto"/>
        </w:rPr>
      </w:pPr>
      <w:r>
        <w:rPr>
          <w:rFonts w:ascii="Calibri" w:cs="Calibri" w:eastAsia="Calibri" w:hAnsi="Calibri"/>
          <w:sz w:val="18"/>
          <w:szCs w:val="18"/>
          <w:b w:val="1"/>
          <w:bCs w:val="1"/>
          <w:i w:val="1"/>
          <w:iCs w:val="1"/>
          <w:u w:val="single" w:color="auto"/>
          <w:color w:val="auto"/>
        </w:rPr>
        <w:t>Note:</w:t>
      </w:r>
    </w:p>
    <w:p>
      <w:pPr>
        <w:jc w:val="both"/>
        <w:ind w:left="200" w:hanging="180"/>
        <w:spacing w:after="0" w:line="238"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spacing w:after="0" w:line="1" w:lineRule="exact"/>
        <w:rPr>
          <w:rFonts w:ascii="Calibri" w:cs="Calibri" w:eastAsia="Calibri" w:hAnsi="Calibri"/>
          <w:sz w:val="18"/>
          <w:szCs w:val="18"/>
          <w:b w:val="1"/>
          <w:bCs w:val="1"/>
          <w:i w:val="1"/>
          <w:iCs w:val="1"/>
          <w:color w:val="auto"/>
        </w:rPr>
      </w:pPr>
    </w:p>
    <w:p>
      <w:pPr>
        <w:jc w:val="both"/>
        <w:ind w:left="200" w:hanging="192"/>
        <w:spacing w:after="0"/>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ind w:left="3680"/>
        <w:spacing w:after="0" w:line="238" w:lineRule="auto"/>
        <w:rPr>
          <w:sz w:val="20"/>
          <w:szCs w:val="20"/>
          <w:color w:val="auto"/>
        </w:rPr>
      </w:pPr>
      <w:r>
        <w:rPr>
          <w:rFonts w:ascii="Calibri" w:cs="Calibri" w:eastAsia="Calibri" w:hAnsi="Calibri"/>
          <w:sz w:val="18"/>
          <w:szCs w:val="18"/>
          <w:color w:val="auto"/>
        </w:rPr>
        <w:t>Fakultas Ekonomi dan Bisnis</w:t>
      </w:r>
    </w:p>
    <w:p>
      <w:pPr>
        <w:spacing w:after="0" w:line="2" w:lineRule="exact"/>
        <w:rPr>
          <w:sz w:val="24"/>
          <w:szCs w:val="24"/>
          <w:color w:val="auto"/>
        </w:rPr>
      </w:pPr>
    </w:p>
    <w:p>
      <w:pPr>
        <w:ind w:left="3700"/>
        <w:spacing w:after="0"/>
        <w:rPr>
          <w:sz w:val="20"/>
          <w:szCs w:val="20"/>
          <w:color w:val="auto"/>
        </w:rPr>
      </w:pPr>
      <w:r>
        <w:rPr>
          <w:rFonts w:ascii="Calibri" w:cs="Calibri" w:eastAsia="Calibri" w:hAnsi="Calibri"/>
          <w:sz w:val="18"/>
          <w:szCs w:val="18"/>
          <w:b w:val="1"/>
          <w:bCs w:val="1"/>
          <w:color w:val="auto"/>
        </w:rPr>
        <w:t>KAMPUS MENARA BHAKTI</w:t>
      </w:r>
    </w:p>
    <w:p>
      <w:pPr>
        <w:ind w:left="2300"/>
        <w:spacing w:after="0" w:line="238" w:lineRule="auto"/>
        <w:rPr>
          <w:sz w:val="20"/>
          <w:szCs w:val="20"/>
          <w:color w:val="auto"/>
        </w:rPr>
      </w:pPr>
      <w:r>
        <w:rPr>
          <w:rFonts w:ascii="Calibri" w:cs="Calibri" w:eastAsia="Calibri" w:hAnsi="Calibri"/>
          <w:sz w:val="18"/>
          <w:szCs w:val="18"/>
          <w:b w:val="1"/>
          <w:bCs w:val="1"/>
          <w:color w:val="auto"/>
        </w:rPr>
        <w:t>Jl. Raya Meruya Selatan No.01, Kembangan, Jakarta Barat 11650</w:t>
      </w:r>
    </w:p>
    <w:p>
      <w:pPr>
        <w:spacing w:after="0" w:line="2" w:lineRule="exact"/>
        <w:rPr>
          <w:sz w:val="24"/>
          <w:szCs w:val="24"/>
          <w:color w:val="auto"/>
        </w:rPr>
      </w:pPr>
    </w:p>
    <w:p>
      <w:pPr>
        <w:ind w:left="2420"/>
        <w:spacing w:after="0" w:line="239"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376"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2015-12-03T23:09:45Z</dcterms:created>
  <dcterms:modified xsi:type="dcterms:W3CDTF">2015-12-03T23:09:45Z</dcterms:modified>
</cp:coreProperties>
</file>