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3262F" w:rsidRPr="00317B6B">
        <w:rPr>
          <w:rFonts w:eastAsia="Arial Unicode MS"/>
          <w:noProof/>
          <w:color w:val="000000"/>
          <w:sz w:val="22"/>
          <w:szCs w:val="22"/>
          <w:lang w:val="en-AU"/>
        </w:rPr>
        <w:t>252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D3262F" w:rsidRPr="00317B6B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D3262F" w:rsidRPr="00317B6B">
        <w:rPr>
          <w:b/>
          <w:noProof/>
          <w:color w:val="000000"/>
          <w:sz w:val="20"/>
          <w:szCs w:val="20"/>
          <w:lang w:val="en-US"/>
        </w:rPr>
        <w:t>0316086901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D3262F" w:rsidRPr="00317B6B">
        <w:rPr>
          <w:b/>
          <w:noProof/>
          <w:color w:val="000000"/>
          <w:sz w:val="20"/>
          <w:szCs w:val="20"/>
          <w:lang w:val="en-US"/>
        </w:rPr>
        <w:t>193690111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D3262F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3262F" w:rsidRPr="00317B6B">
        <w:rPr>
          <w:noProof/>
          <w:color w:val="000000"/>
          <w:sz w:val="20"/>
          <w:szCs w:val="20"/>
          <w:lang w:val="en-AU"/>
        </w:rPr>
        <w:t>Yona Ferizka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3262F" w:rsidRPr="00317B6B">
        <w:rPr>
          <w:noProof/>
          <w:color w:val="000000"/>
          <w:sz w:val="20"/>
          <w:szCs w:val="20"/>
          <w:lang w:val="en-AU"/>
        </w:rPr>
        <w:t>43210120019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3262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D3262F" w:rsidRPr="00317B6B">
        <w:rPr>
          <w:noProof/>
          <w:color w:val="000000"/>
          <w:sz w:val="20"/>
          <w:szCs w:val="20"/>
          <w:lang w:val="en-AU"/>
        </w:rPr>
        <w:t>Pengaruh Good Corporate Governance terhadap Kinerja Perusahaan Manufaktur yg terdaftar di BEI tahun 2011 - 2013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C1ED-FC03-47E4-AB7E-A9C9A1B6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2015-05-29T08:44:00Z</cp:lastPrinted>
  <dcterms:created xsi:type="dcterms:W3CDTF">2015-05-29T08:44:00Z</dcterms:created>
  <dcterms:modified xsi:type="dcterms:W3CDTF">2015-05-29T08:44:00Z</dcterms:modified>
</cp:coreProperties>
</file>