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3458A" w:rsidRPr="00317B6B">
        <w:rPr>
          <w:rFonts w:eastAsia="Arial Unicode MS"/>
          <w:noProof/>
          <w:color w:val="000000"/>
          <w:sz w:val="22"/>
          <w:szCs w:val="22"/>
          <w:lang w:val="en-AU"/>
        </w:rPr>
        <w:t>190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3458A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C3458A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3458A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C3458A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3458A" w:rsidRPr="00317B6B">
        <w:rPr>
          <w:noProof/>
          <w:color w:val="000000"/>
          <w:sz w:val="20"/>
          <w:szCs w:val="20"/>
          <w:lang w:val="en-AU"/>
        </w:rPr>
        <w:t>Yeni Erfiniarti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3458A" w:rsidRPr="00317B6B">
        <w:rPr>
          <w:noProof/>
          <w:color w:val="000000"/>
          <w:sz w:val="20"/>
          <w:szCs w:val="20"/>
          <w:lang w:val="en-AU"/>
        </w:rPr>
        <w:t>43211110140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3458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3458A" w:rsidRPr="00317B6B">
        <w:rPr>
          <w:noProof/>
          <w:color w:val="000000"/>
          <w:sz w:val="20"/>
          <w:szCs w:val="20"/>
          <w:lang w:val="en-AU"/>
        </w:rPr>
        <w:t>Pengaruh Current Ratio,Return On Equity,Debt To Equty Ratio,Total Asset dan Turn Over dan Size Terhadap Deviden Payout Ratio Pada Perusahaan Consumer Good Yang Terdaftar di BEI Tahun 2009-2012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4BA4-8341-44C7-A247-A5B72927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2015-05-29T04:09:00Z</cp:lastPrinted>
  <dcterms:created xsi:type="dcterms:W3CDTF">2015-05-29T04:10:00Z</dcterms:created>
  <dcterms:modified xsi:type="dcterms:W3CDTF">2015-05-29T04:10:00Z</dcterms:modified>
</cp:coreProperties>
</file>