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41D1E" w:rsidRPr="00317B6B">
        <w:rPr>
          <w:rFonts w:eastAsia="Arial Unicode MS"/>
          <w:noProof/>
          <w:color w:val="000000"/>
          <w:sz w:val="22"/>
          <w:szCs w:val="22"/>
          <w:lang w:val="en-AU"/>
        </w:rPr>
        <w:t>232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A41D1E" w:rsidRPr="00317B6B">
        <w:rPr>
          <w:b/>
          <w:noProof/>
          <w:color w:val="000000"/>
          <w:sz w:val="20"/>
          <w:szCs w:val="20"/>
          <w:lang w:val="en-US"/>
        </w:rPr>
        <w:t>Rina Yuliastuty Asmara, SE., MM.,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18694F">
        <w:rPr>
          <w:b/>
          <w:color w:val="000000"/>
          <w:sz w:val="20"/>
          <w:szCs w:val="20"/>
          <w:lang w:val="en-US"/>
        </w:rPr>
        <w:fldChar w:fldCharType="separate"/>
      </w:r>
      <w:r w:rsidR="00A41D1E" w:rsidRPr="00317B6B">
        <w:rPr>
          <w:b/>
          <w:noProof/>
          <w:color w:val="000000"/>
          <w:sz w:val="20"/>
          <w:szCs w:val="20"/>
          <w:lang w:val="en-US"/>
        </w:rPr>
        <w:t>114650417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18694F">
        <w:rPr>
          <w:b/>
          <w:color w:val="000000"/>
          <w:sz w:val="20"/>
          <w:szCs w:val="20"/>
        </w:rPr>
        <w:fldChar w:fldCharType="separate"/>
      </w:r>
      <w:r w:rsidR="00A41D1E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41D1E" w:rsidRPr="00317B6B">
        <w:rPr>
          <w:noProof/>
          <w:color w:val="000000"/>
          <w:sz w:val="20"/>
          <w:szCs w:val="20"/>
          <w:lang w:val="en-AU"/>
        </w:rPr>
        <w:t>Vitya lestary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A41D1E" w:rsidRPr="00317B6B">
        <w:rPr>
          <w:noProof/>
          <w:color w:val="000000"/>
          <w:sz w:val="20"/>
          <w:szCs w:val="20"/>
          <w:lang w:val="en-AU"/>
        </w:rPr>
        <w:t>43210120031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A41D1E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A41D1E" w:rsidRPr="00317B6B">
        <w:rPr>
          <w:noProof/>
          <w:color w:val="000000"/>
          <w:sz w:val="20"/>
          <w:szCs w:val="20"/>
          <w:lang w:val="en-AU"/>
        </w:rPr>
        <w:t>pengaruh lingkungan etika,pengalaman auditor dan tekanan ketaatan terhadap kualitas audit judgment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4" w:rsidRDefault="00E21754" w:rsidP="0014065C">
      <w:r>
        <w:separator/>
      </w:r>
    </w:p>
  </w:endnote>
  <w:endnote w:type="continuationSeparator" w:id="0">
    <w:p w:rsidR="00E21754" w:rsidRDefault="00E217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54" w:rsidRDefault="00E21754">
    <w:pPr>
      <w:pStyle w:val="Footer"/>
    </w:pPr>
    <w:r>
      <w:t>[Type text]</w:t>
    </w:r>
  </w:p>
  <w:p w:rsidR="00E21754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E21754" w:rsidRPr="00694DCC" w:rsidRDefault="00E217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E21754" w:rsidRPr="00694DCC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E21754" w:rsidRDefault="00E21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4" w:rsidRDefault="00E21754" w:rsidP="0014065C">
      <w:r>
        <w:separator/>
      </w:r>
    </w:p>
  </w:footnote>
  <w:footnote w:type="continuationSeparator" w:id="0">
    <w:p w:rsidR="00E21754" w:rsidRDefault="00E217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3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F697-B0DF-42A6-9335-112838BD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2015-05-29T08:16:00Z</cp:lastPrinted>
  <dcterms:created xsi:type="dcterms:W3CDTF">2015-05-29T08:17:00Z</dcterms:created>
  <dcterms:modified xsi:type="dcterms:W3CDTF">2015-05-29T08:17:00Z</dcterms:modified>
</cp:coreProperties>
</file>