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7687F" w:rsidRPr="00F24738">
        <w:rPr>
          <w:rFonts w:eastAsia="Arial Unicode MS"/>
          <w:noProof/>
          <w:color w:val="000000"/>
          <w:sz w:val="22"/>
          <w:szCs w:val="22"/>
          <w:lang w:val="en-AU"/>
        </w:rPr>
        <w:t>17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7687F" w:rsidRPr="00F24738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7687F" w:rsidRPr="00F24738">
        <w:rPr>
          <w:b/>
          <w:noProof/>
          <w:color w:val="000000"/>
          <w:sz w:val="20"/>
          <w:szCs w:val="20"/>
          <w:lang w:val="en-US"/>
        </w:rPr>
        <w:t>0305106503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7687F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7687F" w:rsidRPr="00F24738">
        <w:rPr>
          <w:b/>
          <w:noProof/>
          <w:color w:val="000000"/>
          <w:sz w:val="20"/>
          <w:szCs w:val="20"/>
          <w:lang w:val="en-US"/>
        </w:rPr>
        <w:t>Tubagus Bayu Permana Putra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67687F" w:rsidRPr="00F24738">
        <w:rPr>
          <w:noProof/>
          <w:color w:val="000000"/>
          <w:sz w:val="20"/>
          <w:szCs w:val="20"/>
          <w:lang w:val="en-AU"/>
        </w:rPr>
        <w:t>43208010369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67687F" w:rsidRPr="00F24738">
        <w:rPr>
          <w:noProof/>
          <w:color w:val="000000"/>
          <w:sz w:val="20"/>
          <w:szCs w:val="20"/>
          <w:lang w:val="en-AU"/>
        </w:rPr>
        <w:t>Faktor-Faktor Yang Mempengaruhi Struktur Modal (Pada Perusahaan Tambang Yang Terdaftar di BEI Tahun 2010-2012)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9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8D2D-A478-42EA-856C-D1442794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2015-06-04T02:19:00Z</cp:lastPrinted>
  <dcterms:created xsi:type="dcterms:W3CDTF">2015-06-04T02:19:00Z</dcterms:created>
  <dcterms:modified xsi:type="dcterms:W3CDTF">2015-06-04T02:19:00Z</dcterms:modified>
</cp:coreProperties>
</file>