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F25EA6" w:rsidRPr="009461F7">
        <w:rPr>
          <w:rFonts w:eastAsia="Arial Unicode MS"/>
          <w:noProof/>
          <w:color w:val="000000"/>
          <w:sz w:val="22"/>
          <w:szCs w:val="22"/>
        </w:rPr>
        <w:t>94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F25EA6" w:rsidRPr="009461F7">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977CAD">
        <w:rPr>
          <w:color w:val="000000"/>
          <w:sz w:val="20"/>
          <w:szCs w:val="20"/>
          <w:lang w:val="en-US"/>
        </w:rPr>
        <w:fldChar w:fldCharType="separate"/>
      </w:r>
      <w:r w:rsidR="00F25EA6" w:rsidRPr="009461F7">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77CAD">
        <w:rPr>
          <w:color w:val="000000"/>
          <w:sz w:val="20"/>
          <w:szCs w:val="20"/>
          <w:lang w:val="en-US"/>
        </w:rPr>
        <w:fldChar w:fldCharType="separate"/>
      </w:r>
      <w:r w:rsidR="00F25EA6" w:rsidRPr="009461F7">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77CAD">
        <w:rPr>
          <w:color w:val="000000"/>
          <w:sz w:val="20"/>
          <w:szCs w:val="20"/>
        </w:rPr>
        <w:fldChar w:fldCharType="separate"/>
      </w:r>
      <w:r w:rsidR="00F25EA6" w:rsidRPr="009461F7">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F25EA6" w:rsidRPr="009461F7">
        <w:rPr>
          <w:noProof/>
          <w:color w:val="000000"/>
          <w:sz w:val="20"/>
          <w:szCs w:val="20"/>
        </w:rPr>
        <w:t>Tika Yulita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F25EA6" w:rsidRPr="009461F7">
        <w:rPr>
          <w:noProof/>
          <w:color w:val="000000"/>
          <w:sz w:val="20"/>
          <w:szCs w:val="20"/>
        </w:rPr>
        <w:t>43210110016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F25EA6"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F25EA6" w:rsidRPr="009461F7">
        <w:rPr>
          <w:noProof/>
          <w:color w:val="000000"/>
          <w:sz w:val="20"/>
          <w:szCs w:val="20"/>
        </w:rPr>
        <w:t>Pengaruh Corporate Social Responsibility terhadap ROA dan ROE pada perusahaan Pertambangan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DD7B-F2A2-4754-91E3-A2BFB277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2015-05-28T03:31:00Z</dcterms:created>
  <dcterms:modified xsi:type="dcterms:W3CDTF">2015-05-28T03:31:00Z</dcterms:modified>
</cp:coreProperties>
</file>