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7E358B" w:rsidRPr="00EC53BD">
        <w:rPr>
          <w:rFonts w:eastAsia="Arial Unicode MS"/>
          <w:noProof/>
          <w:color w:val="000000"/>
          <w:sz w:val="22"/>
          <w:szCs w:val="22"/>
        </w:rPr>
        <w:t>49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7E358B" w:rsidRPr="00EC53BD">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7E358B" w:rsidRPr="00EC53BD">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7E358B" w:rsidRPr="00EC53BD">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7E358B"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7E358B" w:rsidRPr="00EC53BD">
        <w:rPr>
          <w:noProof/>
          <w:color w:val="000000"/>
          <w:sz w:val="20"/>
          <w:szCs w:val="20"/>
        </w:rPr>
        <w:t>Setyo Luki Pramitosari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7E358B" w:rsidRPr="00EC53BD">
        <w:rPr>
          <w:noProof/>
          <w:color w:val="000000"/>
          <w:sz w:val="20"/>
          <w:szCs w:val="20"/>
        </w:rPr>
        <w:t>43210120043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7E358B"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7E358B" w:rsidRPr="00EC53BD">
        <w:rPr>
          <w:noProof/>
          <w:color w:val="000000"/>
          <w:sz w:val="20"/>
          <w:szCs w:val="20"/>
        </w:rPr>
        <w:t>Analisis Penerapan Peraturan Pemerintah No. 46 Tahun 2013 Berdasarkan Asas Keadilan Dalam Pemungutan Perpajakan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8B" w:rsidRDefault="007E358B" w:rsidP="005D1477">
      <w:r>
        <w:separator/>
      </w:r>
    </w:p>
  </w:endnote>
  <w:endnote w:type="continuationSeparator" w:id="0">
    <w:p w:rsidR="007E358B" w:rsidRDefault="007E358B"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8B" w:rsidRDefault="007E358B">
    <w:pPr>
      <w:pStyle w:val="Footer"/>
    </w:pPr>
    <w:r>
      <w:t>[Type text]</w:t>
    </w:r>
  </w:p>
  <w:p w:rsidR="007E358B" w:rsidRDefault="007E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8B" w:rsidRDefault="007E358B" w:rsidP="005D1477">
      <w:r>
        <w:separator/>
      </w:r>
    </w:p>
  </w:footnote>
  <w:footnote w:type="continuationSeparator" w:id="0">
    <w:p w:rsidR="007E358B" w:rsidRDefault="007E358B"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B800-46FE-45F8-8477-27DB8204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2015-05-27T07:54:00Z</dcterms:created>
  <dcterms:modified xsi:type="dcterms:W3CDTF">2015-05-27T07:54:00Z</dcterms:modified>
</cp:coreProperties>
</file>