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A2D55" w:rsidRPr="00317B6B">
        <w:rPr>
          <w:rFonts w:eastAsia="Arial Unicode MS"/>
          <w:noProof/>
          <w:color w:val="000000"/>
          <w:sz w:val="22"/>
          <w:szCs w:val="22"/>
          <w:lang w:val="en-AU"/>
        </w:rPr>
        <w:t>174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A2D55" w:rsidRPr="00317B6B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DA2D55" w:rsidRPr="00317B6B">
        <w:rPr>
          <w:b/>
          <w:noProof/>
          <w:color w:val="000000"/>
          <w:sz w:val="20"/>
          <w:szCs w:val="20"/>
          <w:lang w:val="en-US"/>
        </w:rPr>
        <w:t>0325087602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A2D55" w:rsidRPr="00317B6B">
        <w:rPr>
          <w:b/>
          <w:noProof/>
          <w:color w:val="000000"/>
          <w:sz w:val="20"/>
          <w:szCs w:val="20"/>
          <w:lang w:val="en-US"/>
        </w:rPr>
        <w:t>609760091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DA2D55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A2D55" w:rsidRPr="00317B6B">
        <w:rPr>
          <w:noProof/>
          <w:color w:val="000000"/>
          <w:sz w:val="20"/>
          <w:szCs w:val="20"/>
          <w:lang w:val="en-AU"/>
        </w:rPr>
        <w:t>Ria Febrianti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A2D55" w:rsidRPr="00317B6B">
        <w:rPr>
          <w:noProof/>
          <w:color w:val="000000"/>
          <w:sz w:val="20"/>
          <w:szCs w:val="20"/>
          <w:lang w:val="en-AU"/>
        </w:rPr>
        <w:t>43211110044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A2D55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A2D55" w:rsidRPr="00317B6B">
        <w:rPr>
          <w:noProof/>
          <w:color w:val="000000"/>
          <w:sz w:val="20"/>
          <w:szCs w:val="20"/>
          <w:lang w:val="en-AU"/>
        </w:rPr>
        <w:t>Pengaruh Keuangan, Non Keuangan Dan Atribut Tata Kelola Perusahaan Terhadap Praktek Pelaporan Inisiatif (Gri) Berbasis Pengungkapan Lingkungan Global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20F6-7093-4E21-8C86-58FB2C5D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2015-05-29T03:53:00Z</cp:lastPrinted>
  <dcterms:created xsi:type="dcterms:W3CDTF">2015-05-29T03:53:00Z</dcterms:created>
  <dcterms:modified xsi:type="dcterms:W3CDTF">2015-05-29T03:53:00Z</dcterms:modified>
</cp:coreProperties>
</file>