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34F30" w:rsidRPr="00543B2A">
        <w:rPr>
          <w:rFonts w:eastAsia="Arial Unicode MS"/>
          <w:noProof/>
          <w:color w:val="000000"/>
          <w:sz w:val="22"/>
          <w:szCs w:val="22"/>
          <w:lang w:val="en-AU"/>
        </w:rPr>
        <w:t>72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34F30" w:rsidRPr="00543B2A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134F30" w:rsidRPr="00543B2A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134F30" w:rsidRPr="00543B2A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134F30" w:rsidRPr="00543B2A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34F30" w:rsidRPr="00543B2A">
        <w:rPr>
          <w:noProof/>
          <w:color w:val="000000"/>
          <w:sz w:val="20"/>
          <w:szCs w:val="20"/>
          <w:lang w:val="en-AU"/>
        </w:rPr>
        <w:t>Okky Damayanti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34F30" w:rsidRPr="00543B2A">
        <w:rPr>
          <w:noProof/>
          <w:color w:val="000000"/>
          <w:sz w:val="20"/>
          <w:szCs w:val="20"/>
          <w:lang w:val="en-AU"/>
        </w:rPr>
        <w:t>43211110017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134F30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34F30" w:rsidRPr="00543B2A">
        <w:rPr>
          <w:noProof/>
          <w:color w:val="000000"/>
          <w:sz w:val="20"/>
          <w:szCs w:val="20"/>
          <w:lang w:val="en-AU"/>
        </w:rPr>
        <w:t>Analisis Pengaruh Total Arus Kas,Komponen Arus Kas,dan Laba Akuntansi Terhadap Harga Saham di Bursa Efek Jakarta (Studi Kasus pada Saham LQ45 Periode 2010 - 2013)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596C-AB6C-49A8-87EF-DAF9A28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2015-05-28T08:53:00Z</cp:lastPrinted>
  <dcterms:created xsi:type="dcterms:W3CDTF">2015-05-28T08:55:00Z</dcterms:created>
  <dcterms:modified xsi:type="dcterms:W3CDTF">2015-05-28T08:55:00Z</dcterms:modified>
</cp:coreProperties>
</file>