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03ACA" w:rsidRPr="00317B6B">
        <w:rPr>
          <w:rFonts w:eastAsia="Arial Unicode MS"/>
          <w:noProof/>
          <w:color w:val="000000"/>
          <w:sz w:val="22"/>
          <w:szCs w:val="22"/>
          <w:lang w:val="en-AU"/>
        </w:rPr>
        <w:t>228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03ACA" w:rsidRPr="00317B6B">
        <w:rPr>
          <w:b/>
          <w:noProof/>
          <w:color w:val="000000"/>
          <w:sz w:val="20"/>
          <w:szCs w:val="20"/>
          <w:lang w:val="en-US"/>
        </w:rPr>
        <w:t>Reskino, SE.,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03ACA" w:rsidRPr="00317B6B">
        <w:rPr>
          <w:b/>
          <w:noProof/>
          <w:color w:val="000000"/>
          <w:sz w:val="20"/>
          <w:szCs w:val="20"/>
          <w:lang w:val="en-US"/>
        </w:rPr>
        <w:t>028097401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03ACA" w:rsidRPr="00317B6B">
        <w:rPr>
          <w:noProof/>
          <w:color w:val="000000"/>
          <w:sz w:val="20"/>
          <w:szCs w:val="20"/>
          <w:lang w:val="en-AU"/>
        </w:rPr>
        <w:t>Octavia Ningsih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03ACA" w:rsidRPr="00317B6B">
        <w:rPr>
          <w:noProof/>
          <w:color w:val="000000"/>
          <w:sz w:val="20"/>
          <w:szCs w:val="20"/>
          <w:lang w:val="en-AU"/>
        </w:rPr>
        <w:t>43213110030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03ACA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03ACA" w:rsidRPr="00317B6B">
        <w:rPr>
          <w:noProof/>
          <w:color w:val="000000"/>
          <w:sz w:val="20"/>
          <w:szCs w:val="20"/>
          <w:lang w:val="en-AU"/>
        </w:rPr>
        <w:t>Analisis Perhitungan Penyusutan Aset Tetap Menurut Standar Akuntansi Keuangan Tahun 2007 dan Undang-Undang Perpajakan Pada CV. Ref Graphika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0059-5649-40E8-8B57-BC694E5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2015-05-29T08:10:00Z</cp:lastPrinted>
  <dcterms:created xsi:type="dcterms:W3CDTF">2015-05-29T08:10:00Z</dcterms:created>
  <dcterms:modified xsi:type="dcterms:W3CDTF">2015-05-29T08:10:00Z</dcterms:modified>
</cp:coreProperties>
</file>