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644EB" w:rsidRPr="00543B2A">
        <w:rPr>
          <w:rFonts w:eastAsia="Arial Unicode MS"/>
          <w:noProof/>
          <w:color w:val="000000"/>
          <w:sz w:val="22"/>
          <w:szCs w:val="22"/>
          <w:lang w:val="en-AU"/>
        </w:rPr>
        <w:t>73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644EB" w:rsidRPr="00543B2A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B644EB" w:rsidRPr="00543B2A">
        <w:rPr>
          <w:b/>
          <w:noProof/>
          <w:color w:val="000000"/>
          <w:sz w:val="20"/>
          <w:szCs w:val="20"/>
          <w:lang w:val="en-US"/>
        </w:rPr>
        <w:t>0305086504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B644EB" w:rsidRPr="00543B2A">
        <w:rPr>
          <w:b/>
          <w:noProof/>
          <w:color w:val="000000"/>
          <w:sz w:val="20"/>
          <w:szCs w:val="20"/>
          <w:lang w:val="en-US"/>
        </w:rPr>
        <w:t>193650112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B644EB" w:rsidRPr="00543B2A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644EB" w:rsidRPr="00543B2A">
        <w:rPr>
          <w:noProof/>
          <w:color w:val="000000"/>
          <w:sz w:val="20"/>
          <w:szCs w:val="20"/>
          <w:lang w:val="en-AU"/>
        </w:rPr>
        <w:t>Novia Astri Puspitasari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644EB" w:rsidRPr="00543B2A">
        <w:rPr>
          <w:noProof/>
          <w:color w:val="000000"/>
          <w:sz w:val="20"/>
          <w:szCs w:val="20"/>
          <w:lang w:val="en-AU"/>
        </w:rPr>
        <w:t>432-1111-0202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B644EB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644EB" w:rsidRPr="00543B2A">
        <w:rPr>
          <w:noProof/>
          <w:color w:val="000000"/>
          <w:sz w:val="20"/>
          <w:szCs w:val="20"/>
          <w:lang w:val="en-AU"/>
        </w:rPr>
        <w:t>Analisa Pengaruh Book Tax GAP Terhadap Persistensi Laba (Studi Empiris Pada Perusahaan Manufaktur di BEI 2011-2013)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9D40-2EB3-432E-89C6-8B2DDE21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2015-05-28T08:55:00Z</cp:lastPrinted>
  <dcterms:created xsi:type="dcterms:W3CDTF">2015-05-28T08:56:00Z</dcterms:created>
  <dcterms:modified xsi:type="dcterms:W3CDTF">2015-05-28T08:56:00Z</dcterms:modified>
</cp:coreProperties>
</file>