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3A4D2C" w:rsidRPr="009461F7">
        <w:rPr>
          <w:rFonts w:eastAsia="Arial Unicode MS"/>
          <w:noProof/>
          <w:color w:val="000000"/>
          <w:sz w:val="22"/>
          <w:szCs w:val="22"/>
        </w:rPr>
        <w:t>69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3A4D2C" w:rsidRPr="009461F7">
        <w:rPr>
          <w:b/>
          <w:noProof/>
          <w:color w:val="000000"/>
          <w:sz w:val="20"/>
          <w:szCs w:val="20"/>
        </w:rPr>
        <w:t>Hari Setiyawati,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3A4D2C" w:rsidRPr="009461F7">
        <w:rPr>
          <w:noProof/>
          <w:color w:val="000000"/>
          <w:sz w:val="20"/>
          <w:szCs w:val="20"/>
          <w:lang w:val="en-US"/>
        </w:rPr>
        <w:t>0311066802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3A4D2C" w:rsidRPr="009461F7">
        <w:rPr>
          <w:noProof/>
          <w:color w:val="000000"/>
          <w:sz w:val="20"/>
          <w:szCs w:val="20"/>
          <w:lang w:val="en-US"/>
        </w:rPr>
        <w:t>193680117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3A4D2C"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3A4D2C" w:rsidRPr="009461F7">
        <w:rPr>
          <w:noProof/>
          <w:color w:val="000000"/>
          <w:sz w:val="20"/>
          <w:szCs w:val="20"/>
        </w:rPr>
        <w:t>Ihsan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3A4D2C" w:rsidRPr="009461F7">
        <w:rPr>
          <w:noProof/>
          <w:color w:val="000000"/>
          <w:sz w:val="20"/>
          <w:szCs w:val="20"/>
        </w:rPr>
        <w:t>43213110091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3A4D2C"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3A4D2C" w:rsidRPr="009461F7">
        <w:rPr>
          <w:noProof/>
          <w:color w:val="000000"/>
          <w:sz w:val="20"/>
          <w:szCs w:val="20"/>
        </w:rPr>
        <w:t>Pengaruh Non Performing Loan Terhadap Return Saham Perbankan Yang Terdaftar Di Bursa Efek Indonesia Periode 2008 – 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1295-0C27-4F5B-9F59-93989F0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2015-05-28T03:11:00Z</dcterms:created>
  <dcterms:modified xsi:type="dcterms:W3CDTF">2015-05-28T03:11:00Z</dcterms:modified>
</cp:coreProperties>
</file>