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795105" w:rsidRPr="00EC53BD">
        <w:rPr>
          <w:rFonts w:eastAsia="Arial Unicode MS"/>
          <w:noProof/>
          <w:color w:val="000000"/>
          <w:sz w:val="22"/>
          <w:szCs w:val="22"/>
        </w:rPr>
        <w:t>39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795105" w:rsidRPr="00EC53BD">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795105" w:rsidRPr="00EC53BD">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795105" w:rsidRPr="00EC53BD">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795105"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795105" w:rsidRPr="00EC53BD">
        <w:rPr>
          <w:noProof/>
          <w:color w:val="000000"/>
          <w:sz w:val="20"/>
          <w:szCs w:val="20"/>
        </w:rPr>
        <w:t>Herman</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95105" w:rsidRPr="00EC53BD">
        <w:rPr>
          <w:noProof/>
          <w:color w:val="000000"/>
          <w:sz w:val="20"/>
          <w:szCs w:val="20"/>
        </w:rPr>
        <w:t>43213110330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795105"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795105" w:rsidRPr="00EC53BD">
        <w:rPr>
          <w:noProof/>
          <w:color w:val="000000"/>
          <w:sz w:val="20"/>
          <w:szCs w:val="20"/>
        </w:rPr>
        <w:t>Analisis Penerapan PSAK No. 46 Tentang Akuntansi Pajak Tangguh Pada Laporan Keuangan PT. ACRYLAND</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A9FD-3D30-40EC-B453-F090FB10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2015-05-27T07:38:00Z</dcterms:created>
  <dcterms:modified xsi:type="dcterms:W3CDTF">2015-05-27T07:38:00Z</dcterms:modified>
</cp:coreProperties>
</file>