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30C73" w:rsidRPr="00317B6B">
        <w:rPr>
          <w:rFonts w:eastAsia="Arial Unicode MS"/>
          <w:noProof/>
          <w:color w:val="000000"/>
          <w:sz w:val="22"/>
          <w:szCs w:val="22"/>
          <w:lang w:val="en-AU"/>
        </w:rPr>
        <w:t>175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30C73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30C73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30C73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30C73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30C73" w:rsidRPr="00317B6B">
        <w:rPr>
          <w:noProof/>
          <w:color w:val="000000"/>
          <w:sz w:val="20"/>
          <w:szCs w:val="20"/>
          <w:lang w:val="en-AU"/>
        </w:rPr>
        <w:t>Hengky Arpico Chandra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30C73" w:rsidRPr="00317B6B">
        <w:rPr>
          <w:noProof/>
          <w:color w:val="000000"/>
          <w:sz w:val="20"/>
          <w:szCs w:val="20"/>
          <w:lang w:val="en-AU"/>
        </w:rPr>
        <w:t>43211110142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30C73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30C73" w:rsidRPr="00317B6B">
        <w:rPr>
          <w:noProof/>
          <w:color w:val="000000"/>
          <w:sz w:val="20"/>
          <w:szCs w:val="20"/>
          <w:lang w:val="en-AU"/>
        </w:rPr>
        <w:t>Pengaruh Good Corporate Governance (GCG)Terhadap Manajemen Laba Pada Perusahaan Perbankan Yang Terdaftar Di Bursa Efek Indonesia (Periode tahun 2010-2013)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3CDC-7F62-4BA8-8E41-BE87EF62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2015-05-29T03:53:00Z</cp:lastPrinted>
  <dcterms:created xsi:type="dcterms:W3CDTF">2015-05-29T03:53:00Z</dcterms:created>
  <dcterms:modified xsi:type="dcterms:W3CDTF">2015-05-29T03:53:00Z</dcterms:modified>
</cp:coreProperties>
</file>