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AE4968" w:rsidRPr="009C3671">
        <w:rPr>
          <w:b/>
          <w:noProof/>
          <w:color w:val="000000"/>
          <w:sz w:val="22"/>
          <w:szCs w:val="22"/>
        </w:rPr>
        <w:t>Drs. Hasyim, M.M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A31BB">
        <w:rPr>
          <w:color w:val="000000"/>
          <w:sz w:val="22"/>
          <w:szCs w:val="22"/>
          <w:lang w:val="en-AU"/>
        </w:rPr>
        <w:fldChar w:fldCharType="separate"/>
      </w:r>
      <w:r w:rsidR="00AE4968" w:rsidRPr="009C3671">
        <w:rPr>
          <w:noProof/>
          <w:color w:val="000000"/>
          <w:sz w:val="22"/>
          <w:szCs w:val="22"/>
          <w:lang w:val="en-AU"/>
        </w:rPr>
        <w:t>0325116502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Prak.Perenc.Dan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DA7310DA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Prak.Perenc.Dan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DA7311CA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4968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2015-05-27T03:49:00Z</dcterms:created>
  <dcterms:modified xsi:type="dcterms:W3CDTF">2015-05-27T03:49:00Z</dcterms:modified>
</cp:coreProperties>
</file>