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B163AD" w:rsidRPr="009C3671">
        <w:rPr>
          <w:b/>
          <w:noProof/>
          <w:color w:val="000000"/>
          <w:sz w:val="22"/>
          <w:szCs w:val="22"/>
        </w:rPr>
        <w:t>Hartri Putranto, SE. MM.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51467">
        <w:rPr>
          <w:color w:val="000000"/>
          <w:sz w:val="22"/>
          <w:szCs w:val="22"/>
          <w:lang w:val="en-AU"/>
        </w:rPr>
        <w:fldChar w:fldCharType="separate"/>
      </w:r>
      <w:r w:rsidR="00B163AD" w:rsidRPr="009C3671">
        <w:rPr>
          <w:noProof/>
          <w:color w:val="000000"/>
          <w:sz w:val="22"/>
          <w:szCs w:val="22"/>
          <w:lang w:val="en-AU"/>
        </w:rPr>
        <w:t>0304046001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B163AD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B163AD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DA3322AA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DA3322BA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D-407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2605F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163AD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4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2015-05-27T06:43:00Z</dcterms:created>
  <dcterms:modified xsi:type="dcterms:W3CDTF">2015-05-27T06:43:00Z</dcterms:modified>
</cp:coreProperties>
</file>