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50286" w:rsidRPr="00317B6B">
        <w:rPr>
          <w:rFonts w:eastAsia="Arial Unicode MS"/>
          <w:noProof/>
          <w:color w:val="000000"/>
          <w:sz w:val="22"/>
          <w:szCs w:val="22"/>
          <w:lang w:val="en-AU"/>
        </w:rPr>
        <w:t>213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950286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950286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950286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950286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950286" w:rsidRPr="00317B6B">
        <w:rPr>
          <w:noProof/>
          <w:color w:val="000000"/>
          <w:sz w:val="20"/>
          <w:szCs w:val="20"/>
          <w:lang w:val="en-AU"/>
        </w:rPr>
        <w:t>Frindanu Arief Wibowo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950286" w:rsidRPr="00317B6B">
        <w:rPr>
          <w:noProof/>
          <w:color w:val="000000"/>
          <w:sz w:val="20"/>
          <w:szCs w:val="20"/>
          <w:lang w:val="en-AU"/>
        </w:rPr>
        <w:t>43213120250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95028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950286" w:rsidRPr="00317B6B">
        <w:rPr>
          <w:noProof/>
          <w:color w:val="000000"/>
          <w:sz w:val="20"/>
          <w:szCs w:val="20"/>
          <w:lang w:val="en-AU"/>
        </w:rPr>
        <w:t>Analisis Komparasi Kinerja Reksadana Syariah Dan Reksadana Konvensional Berdasarkan Metode Sharpe, Treynor, Dan Jensen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C3C0-306D-48FB-821D-D97DC969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2015-05-29T08:01:00Z</cp:lastPrinted>
  <dcterms:created xsi:type="dcterms:W3CDTF">2015-05-29T08:01:00Z</dcterms:created>
  <dcterms:modified xsi:type="dcterms:W3CDTF">2015-05-29T08:01:00Z</dcterms:modified>
</cp:coreProperties>
</file>