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B3BBE" w:rsidRPr="00317B6B">
        <w:rPr>
          <w:rFonts w:eastAsia="Arial Unicode MS"/>
          <w:noProof/>
          <w:color w:val="000000"/>
          <w:sz w:val="22"/>
          <w:szCs w:val="22"/>
          <w:lang w:val="en-AU"/>
        </w:rPr>
        <w:t>113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B3BBE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1B3BBE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B3BBE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B3BBE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B3BBE" w:rsidRPr="00317B6B">
        <w:rPr>
          <w:noProof/>
          <w:color w:val="000000"/>
          <w:sz w:val="20"/>
          <w:szCs w:val="20"/>
          <w:lang w:val="en-AU"/>
        </w:rPr>
        <w:t>FITRIANI AYUNINGSIH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B3BBE" w:rsidRPr="00317B6B">
        <w:rPr>
          <w:noProof/>
          <w:color w:val="000000"/>
          <w:sz w:val="20"/>
          <w:szCs w:val="20"/>
          <w:lang w:val="en-AU"/>
        </w:rPr>
        <w:t>43213120297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B3BBE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B3BBE" w:rsidRPr="00317B6B">
        <w:rPr>
          <w:noProof/>
          <w:color w:val="000000"/>
          <w:sz w:val="20"/>
          <w:szCs w:val="20"/>
          <w:lang w:val="en-AU"/>
        </w:rPr>
        <w:t>Analisa Tingkat Kesehatan Bank Motede Camel pada PT Bank BJB, Tbk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027A-4779-4865-8EB6-3FB4A387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2015-05-29T02:39:00Z</cp:lastPrinted>
  <dcterms:created xsi:type="dcterms:W3CDTF">2015-05-29T02:40:00Z</dcterms:created>
  <dcterms:modified xsi:type="dcterms:W3CDTF">2015-05-29T02:40:00Z</dcterms:modified>
</cp:coreProperties>
</file>