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CB5C99" w:rsidRPr="00AA6748">
        <w:rPr>
          <w:rFonts w:eastAsia="Arial Unicode MS"/>
          <w:noProof/>
          <w:color w:val="000000"/>
          <w:sz w:val="22"/>
          <w:szCs w:val="22"/>
        </w:rPr>
        <w:t>195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CB5C99" w:rsidRPr="00AA6748">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CB5C99" w:rsidRPr="00AA6748">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CB5C99" w:rsidRPr="00AA6748">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CB5C99"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CB5C99" w:rsidRPr="00AA6748">
        <w:rPr>
          <w:noProof/>
          <w:color w:val="000000"/>
          <w:sz w:val="20"/>
          <w:szCs w:val="20"/>
        </w:rPr>
        <w:t>Eko  Prasetio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CB5C99" w:rsidRPr="00AA6748">
        <w:rPr>
          <w:noProof/>
          <w:color w:val="000000"/>
          <w:sz w:val="20"/>
          <w:szCs w:val="20"/>
        </w:rPr>
        <w:t>43210110066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CB5C99"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CB5C99" w:rsidRPr="00AA6748">
        <w:rPr>
          <w:noProof/>
          <w:color w:val="000000"/>
          <w:sz w:val="20"/>
          <w:szCs w:val="20"/>
        </w:rPr>
        <w:t>Pengaruh Aktiva Tetap dan Laporan Modal Kerja Bersih disesuaikan terhadap Kinerja Perusahaan Efek pada Bursa Efek di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44A7"/>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D832-5464-46D8-B979-BC2D22AC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2015-05-28T05:00:00Z</dcterms:created>
  <dcterms:modified xsi:type="dcterms:W3CDTF">2015-05-28T05:00:00Z</dcterms:modified>
</cp:coreProperties>
</file>