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0F21" w:rsidRPr="00317B6B">
        <w:rPr>
          <w:rFonts w:eastAsia="Arial Unicode MS"/>
          <w:noProof/>
          <w:color w:val="000000"/>
          <w:sz w:val="22"/>
          <w:szCs w:val="22"/>
          <w:lang w:val="en-AU"/>
        </w:rPr>
        <w:t>227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30F21" w:rsidRPr="00317B6B">
        <w:rPr>
          <w:b/>
          <w:noProof/>
          <w:color w:val="000000"/>
          <w:sz w:val="20"/>
          <w:szCs w:val="20"/>
          <w:lang w:val="en-US"/>
        </w:rPr>
        <w:t>Reskino, SE.,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30F21" w:rsidRPr="00317B6B">
        <w:rPr>
          <w:b/>
          <w:noProof/>
          <w:color w:val="000000"/>
          <w:sz w:val="20"/>
          <w:szCs w:val="20"/>
          <w:lang w:val="en-US"/>
        </w:rPr>
        <w:t>028097401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30F21" w:rsidRPr="00317B6B">
        <w:rPr>
          <w:noProof/>
          <w:color w:val="000000"/>
          <w:sz w:val="20"/>
          <w:szCs w:val="20"/>
          <w:lang w:val="en-AU"/>
        </w:rPr>
        <w:t>Eka Yuli Pratiwi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30F21" w:rsidRPr="00317B6B">
        <w:rPr>
          <w:noProof/>
          <w:color w:val="000000"/>
          <w:sz w:val="20"/>
          <w:szCs w:val="20"/>
          <w:lang w:val="en-AU"/>
        </w:rPr>
        <w:t>43211110318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30F21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30F21" w:rsidRPr="00317B6B">
        <w:rPr>
          <w:noProof/>
          <w:color w:val="000000"/>
          <w:sz w:val="20"/>
          <w:szCs w:val="20"/>
          <w:lang w:val="en-AU"/>
        </w:rPr>
        <w:t>Pengaruh Rasio Camel Pada Praktik Manajemen Laba di Bank Umum Syariah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A25D-4311-4917-9599-E4BBDA66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2015-05-29T08:10:00Z</cp:lastPrinted>
  <dcterms:created xsi:type="dcterms:W3CDTF">2015-05-29T08:10:00Z</dcterms:created>
  <dcterms:modified xsi:type="dcterms:W3CDTF">2015-05-29T08:10:00Z</dcterms:modified>
</cp:coreProperties>
</file>