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0C2213" w:rsidRPr="00DE450E">
        <w:rPr>
          <w:noProof/>
          <w:color w:val="000000"/>
          <w:sz w:val="20"/>
          <w:szCs w:val="20"/>
          <w:lang w:val="en-AU"/>
        </w:rPr>
        <w:t>Dra. Nurlis, Ak., M.Si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0C2213" w:rsidRPr="00DE450E">
        <w:rPr>
          <w:noProof/>
          <w:color w:val="000000"/>
          <w:sz w:val="20"/>
          <w:szCs w:val="20"/>
          <w:lang w:val="en-AU"/>
        </w:rPr>
        <w:t>0301026601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0C2213" w:rsidRPr="00DE450E">
        <w:rPr>
          <w:noProof/>
          <w:color w:val="000000"/>
          <w:sz w:val="20"/>
          <w:szCs w:val="20"/>
          <w:lang w:val="en-AU"/>
        </w:rPr>
        <w:t>0301026601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0C2213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Pengantar Akuntansi II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C2213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C2213"/>
    <w:rsid w:val="000F7ECD"/>
    <w:rsid w:val="00143CA8"/>
    <w:rsid w:val="002749E5"/>
    <w:rsid w:val="00275514"/>
    <w:rsid w:val="002850C4"/>
    <w:rsid w:val="00333F89"/>
    <w:rsid w:val="003D31FB"/>
    <w:rsid w:val="004535F9"/>
    <w:rsid w:val="004872EB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E3840"/>
    <w:rsid w:val="00D45BB0"/>
    <w:rsid w:val="00D75B22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94C-501A-4857-87A3-0442D662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2015-06-10T02:23:00Z</cp:lastPrinted>
  <dcterms:created xsi:type="dcterms:W3CDTF">2015-06-10T02:23:00Z</dcterms:created>
  <dcterms:modified xsi:type="dcterms:W3CDTF">2015-06-10T02:23:00Z</dcterms:modified>
</cp:coreProperties>
</file>