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23A6E" w:rsidRPr="00317B6B">
        <w:rPr>
          <w:rFonts w:eastAsia="Arial Unicode MS"/>
          <w:noProof/>
          <w:color w:val="000000"/>
          <w:sz w:val="22"/>
          <w:szCs w:val="22"/>
          <w:lang w:val="en-AU"/>
        </w:rPr>
        <w:t>90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823A6E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823A6E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823A6E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823A6E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23A6E" w:rsidRPr="00317B6B">
        <w:rPr>
          <w:noProof/>
          <w:color w:val="000000"/>
          <w:sz w:val="20"/>
          <w:szCs w:val="20"/>
          <w:lang w:val="en-AU"/>
        </w:rPr>
        <w:t>Dian Putri C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823A6E" w:rsidRPr="00317B6B">
        <w:rPr>
          <w:noProof/>
          <w:color w:val="000000"/>
          <w:sz w:val="20"/>
          <w:szCs w:val="20"/>
          <w:lang w:val="en-AU"/>
        </w:rPr>
        <w:t>43211110029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823A6E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823A6E" w:rsidRPr="00317B6B">
        <w:rPr>
          <w:noProof/>
          <w:color w:val="000000"/>
          <w:sz w:val="20"/>
          <w:szCs w:val="20"/>
          <w:lang w:val="en-AU"/>
        </w:rPr>
        <w:t>Pengaruh Kepemilikan Institusional,Karakter Eksekutif,Ukuran Perusahaan (Size),Pertumbuhan Perusahaan (Growth),dan Tingkat Utang Perusahaan (Leverage) Terhadap Tax Avoidance Pada Perusahaan Yang Terdaftar Di BEI Tahun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FE7D-9DBE-4265-9B2E-FB3CF5B5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2015-05-29T02:19:00Z</cp:lastPrinted>
  <dcterms:created xsi:type="dcterms:W3CDTF">2015-05-29T02:19:00Z</dcterms:created>
  <dcterms:modified xsi:type="dcterms:W3CDTF">2015-05-29T02:19:00Z</dcterms:modified>
</cp:coreProperties>
</file>