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FE4935" w:rsidRPr="00DA5E15">
        <w:rPr>
          <w:b/>
          <w:noProof/>
          <w:color w:val="000000"/>
          <w:sz w:val="20"/>
          <w:szCs w:val="20"/>
          <w:lang w:val="en-US"/>
        </w:rPr>
        <w:t>Rina Yuliastuti Asmara, SE., M.Ak., CA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FE4935" w:rsidRPr="00DA5E15">
        <w:rPr>
          <w:b/>
          <w:noProof/>
          <w:color w:val="000000"/>
          <w:sz w:val="20"/>
          <w:szCs w:val="20"/>
          <w:lang w:val="en-US"/>
        </w:rPr>
        <w:t>114650417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FE4935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FE4935" w:rsidRPr="00DA5E15">
        <w:rPr>
          <w:noProof/>
          <w:color w:val="000000"/>
          <w:sz w:val="20"/>
          <w:szCs w:val="20"/>
          <w:lang w:val="en-AU"/>
        </w:rPr>
        <w:t>Dewi Suryaningsih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FE4935" w:rsidRPr="00DA5E15">
        <w:rPr>
          <w:noProof/>
          <w:color w:val="000000"/>
          <w:sz w:val="20"/>
          <w:szCs w:val="20"/>
          <w:lang w:val="en-AU"/>
        </w:rPr>
        <w:t>43211010111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FE4935" w:rsidRPr="00DA5E15">
        <w:rPr>
          <w:noProof/>
          <w:color w:val="000000"/>
          <w:sz w:val="20"/>
          <w:szCs w:val="20"/>
          <w:lang w:val="en-AU"/>
        </w:rPr>
        <w:t>Transisi Menuju Ifrs Dan Pengaruhnya Terhadap Laporan Keuangan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7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33D72"/>
    <w:rsid w:val="004919EE"/>
    <w:rsid w:val="00495A1E"/>
    <w:rsid w:val="004B69AD"/>
    <w:rsid w:val="004E7EFD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179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1AD6"/>
    <w:rsid w:val="00CD4AD3"/>
    <w:rsid w:val="00CE2C9A"/>
    <w:rsid w:val="00D058DA"/>
    <w:rsid w:val="00D15D6B"/>
    <w:rsid w:val="00D22342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4C08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92DD-0D99-4C8E-BDBE-3BFD6F15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2015-05-26T07:30:00Z</dcterms:created>
  <dcterms:modified xsi:type="dcterms:W3CDTF">2015-05-26T07:30:00Z</dcterms:modified>
</cp:coreProperties>
</file>