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554FE" w:rsidRPr="00543B2A">
        <w:rPr>
          <w:rFonts w:eastAsia="Arial Unicode MS"/>
          <w:noProof/>
          <w:color w:val="000000"/>
          <w:sz w:val="22"/>
          <w:szCs w:val="22"/>
          <w:lang w:val="en-AU"/>
        </w:rPr>
        <w:t>62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C554FE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C554FE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C554FE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C554FE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554FE" w:rsidRPr="00543B2A">
        <w:rPr>
          <w:noProof/>
          <w:color w:val="000000"/>
          <w:sz w:val="20"/>
          <w:szCs w:val="20"/>
          <w:lang w:val="en-AU"/>
        </w:rPr>
        <w:t>Budi Rajat Sukisno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554FE" w:rsidRPr="00543B2A">
        <w:rPr>
          <w:noProof/>
          <w:color w:val="000000"/>
          <w:sz w:val="20"/>
          <w:szCs w:val="20"/>
          <w:lang w:val="en-AU"/>
        </w:rPr>
        <w:t>43211110150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554FE" w:rsidRPr="00543B2A">
        <w:rPr>
          <w:noProof/>
          <w:color w:val="000000"/>
          <w:sz w:val="20"/>
          <w:szCs w:val="20"/>
          <w:lang w:val="en-AU"/>
        </w:rPr>
        <w:t>GCG, CSR, Struktur kepemilikan kebijakan hutang dan pengaruhnya terhadap nilai perusahaan.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lastRenderedPageBreak/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554FE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EE6D-8C59-4D2E-8C31-7B3EDE62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2015-05-28T08:40:00Z</cp:lastPrinted>
  <dcterms:created xsi:type="dcterms:W3CDTF">2015-05-28T08:41:00Z</dcterms:created>
  <dcterms:modified xsi:type="dcterms:W3CDTF">2015-05-28T08:41:00Z</dcterms:modified>
</cp:coreProperties>
</file>