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D379D" w:rsidRPr="00543B2A">
        <w:rPr>
          <w:rFonts w:eastAsia="Arial Unicode MS"/>
          <w:noProof/>
          <w:color w:val="000000"/>
          <w:sz w:val="22"/>
          <w:szCs w:val="22"/>
          <w:lang w:val="en-AU"/>
        </w:rPr>
        <w:t>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D379D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D379D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D379D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BD379D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379D" w:rsidRPr="00543B2A">
        <w:rPr>
          <w:noProof/>
          <w:color w:val="000000"/>
          <w:sz w:val="20"/>
          <w:szCs w:val="20"/>
          <w:lang w:val="en-AU"/>
        </w:rPr>
        <w:t>Bezella Riantieza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379D" w:rsidRPr="00543B2A">
        <w:rPr>
          <w:noProof/>
          <w:color w:val="000000"/>
          <w:sz w:val="20"/>
          <w:szCs w:val="20"/>
          <w:lang w:val="en-AU"/>
        </w:rPr>
        <w:t>43213120366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379D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D379D" w:rsidRPr="00543B2A">
        <w:rPr>
          <w:noProof/>
          <w:color w:val="000000"/>
          <w:sz w:val="20"/>
          <w:szCs w:val="20"/>
          <w:lang w:val="en-AU"/>
        </w:rPr>
        <w:t>Perbandingan Perlakuan Sebelum Akuntansi dan Sesudah Konvergensi IFRS atas Laporan Keuangan pada PT Sarana Karya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277B-B258-48DC-AEBF-E11BA1F5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2015-05-28T07:15:00Z</cp:lastPrinted>
  <dcterms:created xsi:type="dcterms:W3CDTF">2015-05-28T07:16:00Z</dcterms:created>
  <dcterms:modified xsi:type="dcterms:W3CDTF">2015-05-28T07:16:00Z</dcterms:modified>
</cp:coreProperties>
</file>