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652E1" w:rsidRPr="00543B2A">
        <w:rPr>
          <w:rFonts w:eastAsia="Arial Unicode MS"/>
          <w:noProof/>
          <w:color w:val="000000"/>
          <w:sz w:val="22"/>
          <w:szCs w:val="22"/>
          <w:lang w:val="en-AU"/>
        </w:rPr>
        <w:t>16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652E1" w:rsidRPr="00543B2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3652E1" w:rsidRPr="00543B2A">
        <w:rPr>
          <w:b/>
          <w:noProof/>
          <w:color w:val="000000"/>
          <w:sz w:val="20"/>
          <w:szCs w:val="20"/>
          <w:lang w:val="en-US"/>
        </w:rPr>
        <w:t>0312097903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652E1" w:rsidRPr="00543B2A">
        <w:rPr>
          <w:b/>
          <w:noProof/>
          <w:color w:val="000000"/>
          <w:sz w:val="20"/>
          <w:szCs w:val="20"/>
          <w:lang w:val="en-US"/>
        </w:rPr>
        <w:t>609700107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3652E1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652E1" w:rsidRPr="00543B2A">
        <w:rPr>
          <w:noProof/>
          <w:color w:val="000000"/>
          <w:sz w:val="20"/>
          <w:szCs w:val="20"/>
          <w:lang w:val="en-AU"/>
        </w:rPr>
        <w:t>Ayu Wandhira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652E1" w:rsidRPr="00543B2A">
        <w:rPr>
          <w:noProof/>
          <w:color w:val="000000"/>
          <w:sz w:val="20"/>
          <w:szCs w:val="20"/>
          <w:lang w:val="en-AU"/>
        </w:rPr>
        <w:t>43213120030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652E1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652E1" w:rsidRPr="00543B2A">
        <w:rPr>
          <w:noProof/>
          <w:color w:val="000000"/>
          <w:sz w:val="20"/>
          <w:szCs w:val="20"/>
          <w:lang w:val="en-AU"/>
        </w:rPr>
        <w:t>Evaluasi Pengendalian internal pada siklus penerimaan kas PT Emax Fortune International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0E10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01F45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BE0C-4986-4D99-BEF4-81EDD41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2015-05-28T07:27:00Z</cp:lastPrinted>
  <dcterms:created xsi:type="dcterms:W3CDTF">2015-05-28T07:28:00Z</dcterms:created>
  <dcterms:modified xsi:type="dcterms:W3CDTF">2015-05-28T07:28:00Z</dcterms:modified>
</cp:coreProperties>
</file>