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A55C4" w:rsidRPr="00543B2A">
        <w:rPr>
          <w:rFonts w:eastAsia="Arial Unicode MS"/>
          <w:noProof/>
          <w:color w:val="000000"/>
          <w:sz w:val="22"/>
          <w:szCs w:val="22"/>
          <w:lang w:val="en-AU"/>
        </w:rPr>
        <w:t>44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A55C4" w:rsidRPr="00543B2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EA55C4" w:rsidRPr="00543B2A">
        <w:rPr>
          <w:b/>
          <w:noProof/>
          <w:color w:val="000000"/>
          <w:sz w:val="20"/>
          <w:szCs w:val="20"/>
          <w:lang w:val="en-US"/>
        </w:rPr>
        <w:t>01117105901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EA55C4" w:rsidRPr="00543B2A">
        <w:rPr>
          <w:b/>
          <w:noProof/>
          <w:color w:val="000000"/>
          <w:sz w:val="20"/>
          <w:szCs w:val="20"/>
          <w:lang w:val="en-US"/>
        </w:rPr>
        <w:t>113590387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EA55C4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A55C4" w:rsidRPr="00543B2A">
        <w:rPr>
          <w:noProof/>
          <w:color w:val="000000"/>
          <w:sz w:val="20"/>
          <w:szCs w:val="20"/>
          <w:lang w:val="en-AU"/>
        </w:rPr>
        <w:t>Alwan Zamroni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A55C4" w:rsidRPr="00543B2A">
        <w:rPr>
          <w:noProof/>
          <w:color w:val="000000"/>
          <w:sz w:val="20"/>
          <w:szCs w:val="20"/>
          <w:lang w:val="en-AU"/>
        </w:rPr>
        <w:t>43213110379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A55C4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A55C4" w:rsidRPr="00543B2A">
        <w:rPr>
          <w:noProof/>
          <w:color w:val="000000"/>
          <w:sz w:val="20"/>
          <w:szCs w:val="20"/>
          <w:lang w:val="en-AU"/>
        </w:rPr>
        <w:t>Implementasi Blueprint Financial Accounting di PT Bank Tabungan Negara (Persero) Tbk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4DF7-72DB-4232-A183-C8AEF4AB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2015-05-28T07:57:00Z</cp:lastPrinted>
  <dcterms:created xsi:type="dcterms:W3CDTF">2015-05-28T07:57:00Z</dcterms:created>
  <dcterms:modified xsi:type="dcterms:W3CDTF">2015-05-28T07:57:00Z</dcterms:modified>
</cp:coreProperties>
</file>