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55A4D" w:rsidRPr="00317B6B">
        <w:rPr>
          <w:rFonts w:eastAsia="Arial Unicode MS"/>
          <w:noProof/>
          <w:color w:val="000000"/>
          <w:sz w:val="22"/>
          <w:szCs w:val="22"/>
          <w:lang w:val="en-AU"/>
        </w:rPr>
        <w:t>140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F55A4D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F55A4D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F55A4D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F55A4D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55A4D" w:rsidRPr="00317B6B">
        <w:rPr>
          <w:noProof/>
          <w:color w:val="000000"/>
          <w:sz w:val="20"/>
          <w:szCs w:val="20"/>
          <w:lang w:val="en-AU"/>
        </w:rPr>
        <w:t>Ade Gunawan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F55A4D" w:rsidRPr="00317B6B">
        <w:rPr>
          <w:noProof/>
          <w:color w:val="000000"/>
          <w:sz w:val="20"/>
          <w:szCs w:val="20"/>
          <w:lang w:val="en-AU"/>
        </w:rPr>
        <w:t>43213120382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F55A4D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F55A4D" w:rsidRPr="00317B6B">
        <w:rPr>
          <w:noProof/>
          <w:color w:val="000000"/>
          <w:sz w:val="20"/>
          <w:szCs w:val="20"/>
          <w:lang w:val="en-AU"/>
        </w:rPr>
        <w:t>Pengaruh Penerapan Perlakuan IFRS Pada Perusahaan Dagang Go Public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8" w:rsidRDefault="00965C08" w:rsidP="0014065C">
      <w:r>
        <w:separator/>
      </w:r>
    </w:p>
  </w:endnote>
  <w:endnote w:type="continuationSeparator" w:id="0">
    <w:p w:rsidR="00965C08" w:rsidRDefault="00965C0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Footer"/>
    </w:pPr>
    <w:r>
      <w:t>[Type text]</w:t>
    </w:r>
  </w:p>
  <w:p w:rsidR="00965C08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5C08" w:rsidRPr="00694DCC" w:rsidRDefault="00965C0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5C08" w:rsidRPr="00694DCC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5C08" w:rsidRDefault="0096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8" w:rsidRDefault="00965C08" w:rsidP="0014065C">
      <w:r>
        <w:separator/>
      </w:r>
    </w:p>
  </w:footnote>
  <w:footnote w:type="continuationSeparator" w:id="0">
    <w:p w:rsidR="00965C08" w:rsidRDefault="00965C0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47CF-1406-4CAB-8765-F38CED2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2015-05-29T03:14:00Z</cp:lastPrinted>
  <dcterms:created xsi:type="dcterms:W3CDTF">2015-05-29T03:14:00Z</dcterms:created>
  <dcterms:modified xsi:type="dcterms:W3CDTF">2015-05-29T03:14:00Z</dcterms:modified>
</cp:coreProperties>
</file>