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977CAD" w:rsidRPr="009461F7">
        <w:rPr>
          <w:rFonts w:eastAsia="Arial Unicode MS"/>
          <w:noProof/>
          <w:color w:val="000000"/>
          <w:sz w:val="22"/>
          <w:szCs w:val="22"/>
        </w:rPr>
        <w:t>93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977CAD" w:rsidRPr="009461F7">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977CAD">
        <w:rPr>
          <w:color w:val="000000"/>
          <w:sz w:val="20"/>
          <w:szCs w:val="20"/>
          <w:lang w:val="en-US"/>
        </w:rPr>
        <w:fldChar w:fldCharType="separate"/>
      </w:r>
      <w:r w:rsidR="00977CAD" w:rsidRPr="009461F7">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77CAD">
        <w:rPr>
          <w:color w:val="000000"/>
          <w:sz w:val="20"/>
          <w:szCs w:val="20"/>
          <w:lang w:val="en-US"/>
        </w:rPr>
        <w:fldChar w:fldCharType="separate"/>
      </w:r>
      <w:r w:rsidR="00977CAD" w:rsidRPr="009461F7">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77CAD">
        <w:rPr>
          <w:color w:val="000000"/>
          <w:sz w:val="20"/>
          <w:szCs w:val="20"/>
        </w:rPr>
        <w:fldChar w:fldCharType="separate"/>
      </w:r>
      <w:r w:rsidR="00977CAD"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977CAD" w:rsidRPr="009461F7">
        <w:rPr>
          <w:noProof/>
          <w:color w:val="000000"/>
          <w:sz w:val="20"/>
          <w:szCs w:val="20"/>
        </w:rPr>
        <w:t>Abdi Wandana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977CAD" w:rsidRPr="009461F7">
        <w:rPr>
          <w:noProof/>
          <w:color w:val="000000"/>
          <w:sz w:val="20"/>
          <w:szCs w:val="20"/>
        </w:rPr>
        <w:t>43210120091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977CAD"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977CAD" w:rsidRPr="009461F7">
        <w:rPr>
          <w:noProof/>
          <w:color w:val="000000"/>
          <w:sz w:val="20"/>
          <w:szCs w:val="20"/>
        </w:rPr>
        <w:t>Pengaruh Keputusan Investasi, Keputusan Pendanaan dan Kebijakan Dividen terhadap  Nilai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9321-4801-4BDE-A926-0DF66735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2015-05-28T03:24:00Z</dcterms:created>
  <dcterms:modified xsi:type="dcterms:W3CDTF">2015-05-28T03:24:00Z</dcterms:modified>
</cp:coreProperties>
</file>