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7011A" w:rsidRPr="00151AD8">
        <w:rPr>
          <w:rFonts w:eastAsia="Arial Unicode MS"/>
          <w:noProof/>
          <w:color w:val="000000"/>
          <w:sz w:val="22"/>
          <w:szCs w:val="22"/>
        </w:rPr>
        <w:t>194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7011A"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7011A"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7011A"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7011A" w:rsidRPr="00151AD8">
        <w:rPr>
          <w:noProof/>
          <w:color w:val="000000"/>
          <w:sz w:val="20"/>
          <w:szCs w:val="20"/>
        </w:rPr>
        <w:t>Kiki Ratna Hariyanti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7011A" w:rsidRPr="00151AD8">
        <w:rPr>
          <w:noProof/>
          <w:color w:val="000000"/>
          <w:sz w:val="20"/>
          <w:szCs w:val="20"/>
        </w:rPr>
        <w:t>43209120104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7011A"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0178"/>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011A"/>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16F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3ABB"/>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1C9D-B66F-492F-8BB8-BC6B8D4C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2015-06-03T08:17:00Z</cp:lastPrinted>
  <dcterms:created xsi:type="dcterms:W3CDTF">2015-06-03T08:32:00Z</dcterms:created>
  <dcterms:modified xsi:type="dcterms:W3CDTF">2015-06-03T08:32:00Z</dcterms:modified>
</cp:coreProperties>
</file>