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26AEF" w:rsidRPr="00F24738">
        <w:rPr>
          <w:rFonts w:eastAsia="Arial Unicode MS"/>
          <w:noProof/>
          <w:color w:val="000000"/>
          <w:sz w:val="22"/>
          <w:szCs w:val="22"/>
          <w:lang w:val="en-AU"/>
        </w:rPr>
        <w:t>14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26AEF" w:rsidRPr="00F24738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26AEF" w:rsidRPr="00F24738">
        <w:rPr>
          <w:b/>
          <w:noProof/>
          <w:color w:val="000000"/>
          <w:sz w:val="20"/>
          <w:szCs w:val="20"/>
          <w:lang w:val="en-US"/>
        </w:rPr>
        <w:t>0301026601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26AEF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26AEF" w:rsidRPr="00F24738">
        <w:rPr>
          <w:b/>
          <w:noProof/>
          <w:color w:val="000000"/>
          <w:sz w:val="20"/>
          <w:szCs w:val="20"/>
          <w:lang w:val="en-US"/>
        </w:rPr>
        <w:t>Arafah Kharisma Agung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C26AEF" w:rsidRPr="00F24738">
        <w:rPr>
          <w:noProof/>
          <w:color w:val="000000"/>
          <w:sz w:val="20"/>
          <w:szCs w:val="20"/>
          <w:lang w:val="en-AU"/>
        </w:rPr>
        <w:t>43210010201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C26AEF" w:rsidRPr="00F24738">
        <w:rPr>
          <w:noProof/>
          <w:color w:val="000000"/>
          <w:sz w:val="20"/>
          <w:szCs w:val="20"/>
          <w:lang w:val="en-AU"/>
        </w:rPr>
        <w:t>Pengaruh Laba Kotor, Laba Bersih Dan Arus Kas Terhadap Harga Saham Pada Perusahaan Property Di BEI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6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235CF5"/>
    <w:rsid w:val="002741F9"/>
    <w:rsid w:val="002C16F2"/>
    <w:rsid w:val="00316390"/>
    <w:rsid w:val="003A64D1"/>
    <w:rsid w:val="003C6A7F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9D3B42"/>
    <w:rsid w:val="00AA2A7F"/>
    <w:rsid w:val="00AD7B3A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13CC-AD69-4B0D-BB85-DF49BBF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2015-06-04T02:17:00Z</cp:lastPrinted>
  <dcterms:created xsi:type="dcterms:W3CDTF">2015-06-04T02:17:00Z</dcterms:created>
  <dcterms:modified xsi:type="dcterms:W3CDTF">2015-06-04T02:17:00Z</dcterms:modified>
</cp:coreProperties>
</file>